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orinthians-4"/>
    <w:p>
      <w:pPr>
        <w:pStyle w:val="Heading1"/>
      </w:pPr>
      <w:r>
        <w:t xml:space="preserve">Homiletics Analysis: 2 Corinthians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Corinthians 4 is one of the most concentrated treatments of Christian ministry and suffering in the entire New Testament. Paul writes to defend not merely his apostolic credentials but the nature of authentic ministry itself. The chapter opens with the declaration that Paul and his co-workers do not lose heart — immediately establishing that the pressure to lose heart is real and present. He grounds this refusal in the mercy that gave them their ministry (v. 1), then moves to a sharp distinction between the hidden and the open: the gospel is not veiled to those who are being saved, but it is veiled to the perishing, whose minds the god of this age has blinded (vv. 3–4). The solution to this blindness is not rhetorical cunning or manipulative preaching but the proclamation of Jesus Christ as Lord (v. 5) — because the same God who commanded light to shine at creation has shone His light into human hearts through the gospel (v. 6).</w:t>
      </w:r>
    </w:p>
    <w:p>
      <w:pPr>
        <w:pStyle w:val="BodyText"/>
      </w:pPr>
      <w:r>
        <w:t xml:space="preserve">The chapter’s rhetorical and theological center arrives at verse 7:</w:t>
      </w:r>
      <w:r>
        <w:t xml:space="preserve"> </w:t>
      </w:r>
      <w:r>
        <w:t xml:space="preserve">“We have this treasure in jars of clay.”</w:t>
      </w:r>
      <w:r>
        <w:t xml:space="preserve"> </w:t>
      </w:r>
      <w:r>
        <w:t xml:space="preserve">This paradox — limitless treasure housed in fragile, unremarkable vessels — governs the rest of the chapter. Paul develops it through a series of contrasts: hard pressed but not crushed; perplexed but not in despair; persecuted but not abandoned; struck down but not destroyed (vv. 8–9). The suffering is real; the limits are real; the fragility is real. But the power is God’s, and precisely because it is God’s, it is not extinguished by the vessel’s weakness. The death of Jesus is at work in the apostolic body so that the life of Jesus may appear through it (vv. 10–12). Paul grounds his continued proclamation in the same faith-speech connection the psalmist knew:</w:t>
      </w:r>
      <w:r>
        <w:t xml:space="preserve"> </w:t>
      </w:r>
      <w:r>
        <w:t xml:space="preserve">“I believed, therefore I have spoken”</w:t>
      </w:r>
      <w:r>
        <w:t xml:space="preserve"> </w:t>
      </w:r>
      <w:r>
        <w:t xml:space="preserve">(v. 13; cf. Ps. 116:10). He then moves to eschatology as the load-bearing motivation: the same God who raised Jesus will raise those who belong to Him (v. 14), and everything — including the suffering — is working toward an eternal weight of glory that far outweighs the momentary, light affliction (vv. 17–18).</w:t>
      </w:r>
    </w:p>
    <w:p>
      <w:pPr>
        <w:pStyle w:val="BodyText"/>
      </w:pPr>
      <w:r>
        <w:t xml:space="preserve">The chapter closes with the decisive reframe: the things that are seen are temporary; the things that are unseen are eternal. This is not escapism — it is the epistemological foundation for perseverance. The minister of the gospel does not lose heart because he sees differently.</w:t>
      </w:r>
    </w:p>
    <w:p>
      <w:pPr>
        <w:pStyle w:val="BodyText"/>
      </w:pPr>
      <w:r>
        <w:rPr>
          <w:b/>
          <w:bCs/>
        </w:rPr>
        <w:t xml:space="preserve">This Text — Intent:</w:t>
      </w:r>
    </w:p>
    <w:p>
      <w:pPr>
        <w:pStyle w:val="BodyText"/>
      </w:pPr>
      <w:r>
        <w:t xml:space="preserve">God’s intent through this passage is to prevent the loss of heart in those who bear the gospel under conditions of weakness, opposition, and suffering — by reframing what they are seeing. Paul is not primarily offering comfort; he is performing an epistemological surgery. He is teaching the minister of the gospel (and by extension every believer who carries the gospel in a fragile life) to see their circumstances correctly: the weakness is intentional, the suffering is productive, the affliction is temporary, and the glory is real and certain. The intended effect is a renewed capacity for sustained, non-manipulative, gospel-centered ministry that endures precisely because it has stopped expecting the treasure to validate itself through the quality of the vessel.</w:t>
      </w:r>
    </w:p>
    <w:p>
      <w:r>
        <w:pict>
          <v:rect style="width:0;height:1.5pt" o:hralign="center" o:hrstd="t" o:hr="t"/>
        </w:pict>
      </w:r>
    </w:p>
    <w:p>
      <w:pPr>
        <w:pStyle w:val="FirstParagraph"/>
      </w:pPr>
      <w:r>
        <w:rPr>
          <w:b/>
          <w:bCs/>
        </w:rPr>
        <w:t xml:space="preserve">Subject Sentence:</w:t>
      </w:r>
      <w:r>
        <w:t xml:space="preserve"> </w:t>
      </w:r>
      <w:r>
        <w:t xml:space="preserve">God’s surpassing power displayed through the frailty and suffering of gospel ministers.</w:t>
      </w:r>
    </w:p>
    <w:p>
      <w:r>
        <w:pict>
          <v:rect style="width:0;height:1.5pt" o:hralign="center" o:hrstd="t" o:hr="t"/>
        </w:pict>
      </w:r>
    </w:p>
    <w:p>
      <w:pPr>
        <w:pStyle w:val="FirstParagraph"/>
      </w:pPr>
      <w:r>
        <w:rPr>
          <w:b/>
          <w:bCs/>
        </w:rPr>
        <w:t xml:space="preserve">Primary Claim:</w:t>
      </w:r>
      <w:r>
        <w:t xml:space="preserve"> </w:t>
      </w:r>
      <w:r>
        <w:t xml:space="preserve">God intentionally houses His surpassing gospel treasure in weak, suffering vessels so that no one mistakes the power for human, and so that the minister who understands this has every reason to endure without losing heart.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“jars of clay”</w:t>
      </w:r>
      <w:r>
        <w:rPr>
          <w:b/>
          <w:bCs/>
        </w:rPr>
        <w:t xml:space="preserve"> </w:t>
      </w:r>
      <w:r>
        <w:rPr>
          <w:b/>
          <w:bCs/>
        </w:rPr>
        <w:t xml:space="preserve">as general Christian experience vs. apostolic vocation:</w:t>
      </w:r>
      <w:r>
        <w:t xml:space="preserve"> </w:t>
      </w:r>
      <w:r>
        <w:t xml:space="preserve">A significant hermeneutical question is whether Paul’s language in 2 Corinthians 4 is addressed exclusively to apostolic ministers or to all believers. Some traditions, particularly those with strong pneumatological emphases (Pentecostal/Charismatic), read verses 7–12 as a general paradigm for Spirit-empowered Christian living — the power of God available to all, demonstrated through weakness and suffering that any believer may experience. This reading is not without textual merit; Paul’s logic does generalize (the same God who shone light into creation shines into human hearts, v. 6), and the eschatological hope in verses 14–18 is plainly addressed to all who share the resurrection faith. However, the immediate context is clearly apostolic and ministerial. The</w:t>
      </w:r>
      <w:r>
        <w:t xml:space="preserve"> </w:t>
      </w:r>
      <w:r>
        <w:t xml:space="preserve">“we”</w:t>
      </w:r>
      <w:r>
        <w:t xml:space="preserve"> </w:t>
      </w:r>
      <w:r>
        <w:t xml:space="preserve">of chapter 4 is the same</w:t>
      </w:r>
      <w:r>
        <w:t xml:space="preserve"> </w:t>
      </w:r>
      <w:r>
        <w:t xml:space="preserve">“we”</w:t>
      </w:r>
      <w:r>
        <w:t xml:space="preserve"> </w:t>
      </w:r>
      <w:r>
        <w:t xml:space="preserve">of chapter 3 — those who have been given the ministry of the new covenant (3:6), who commend themselves to every person’s conscience (4:2), who preach Jesus Christ as Lord (4:5). The Reformed reading is that Paul’s immediate referent is the apostolic ministry, but the theological principle — that God displays His power through human weakness, that suffering is productive rather than contradictory to genuine divine commission — applies to all Christians, especially those who bear the gospel in any form.</w:t>
      </w:r>
      <w:r>
        <w:t xml:space="preserve"> </w:t>
      </w:r>
      <w:r>
        <w:rPr>
          <w:b/>
          <w:bCs/>
        </w:rPr>
        <w:t xml:space="preserve">Acknowledge</w:t>
      </w:r>
      <w:r>
        <w:t xml:space="preserve"> </w:t>
      </w:r>
      <w:r>
        <w:t xml:space="preserve">the general application; maintain the apostolic primary referent.</w:t>
      </w:r>
    </w:p>
    <w:p>
      <w:pPr>
        <w:pStyle w:val="BodyText"/>
      </w:pPr>
      <w:r>
        <w:rPr>
          <w:b/>
          <w:bCs/>
        </w:rPr>
        <w:t xml:space="preserve">The</w:t>
      </w:r>
      <w:r>
        <w:rPr>
          <w:b/>
          <w:bCs/>
        </w:rPr>
        <w:t xml:space="preserve"> </w:t>
      </w:r>
      <w:r>
        <w:rPr>
          <w:b/>
          <w:bCs/>
        </w:rPr>
        <w:t xml:space="preserve">“god of this age”</w:t>
      </w:r>
      <w:r>
        <w:rPr>
          <w:b/>
          <w:bCs/>
        </w:rPr>
        <w:t xml:space="preserve"> </w:t>
      </w:r>
      <w:r>
        <w:rPr>
          <w:b/>
          <w:bCs/>
        </w:rPr>
        <w:t xml:space="preserve">and the nature of unbelief:</w:t>
      </w:r>
      <w:r>
        <w:t xml:space="preserve"> </w:t>
      </w:r>
      <w:r>
        <w:t xml:space="preserve">Verse 4 attributes the blindness of unbelievers to</w:t>
      </w:r>
      <w:r>
        <w:t xml:space="preserve"> </w:t>
      </w:r>
      <w:r>
        <w:t xml:space="preserve">“the god of this age”</w:t>
      </w:r>
      <w:r>
        <w:t xml:space="preserve"> </w:t>
      </w:r>
      <w:r>
        <w:t xml:space="preserve">— Satan — who has</w:t>
      </w:r>
      <w:r>
        <w:t xml:space="preserve"> </w:t>
      </w:r>
      <w:r>
        <w:t xml:space="preserve">“blinded the minds of the unbelieving.”</w:t>
      </w:r>
      <w:r>
        <w:t xml:space="preserve"> </w:t>
      </w:r>
      <w:r>
        <w:t xml:space="preserve">Arminian and Wesleyan readings tend to locate the primary cause of unbelief in human free choice, with the satanic blinding as a secondary intensification of a prior human rejection. The Reformed reading takes the verse at face value: the blindness is real, comprehensive, and spiritually imposed — which is precisely why human rhetoric or manipulation cannot solve it. Only the same God who commanded light to shine from nothing (v. 6) can overcome this blindness. This makes the passage a significant text for the Reformed understanding of total spiritual inability and the necessity of sovereign grace in regeneration. The verse does not directly address the question of why some are blinded and others are not — but it makes unmistakably clear that the illumination required is miraculous and divine, not something within unaided human capacity to achieve.</w:t>
      </w:r>
      <w:r>
        <w:t xml:space="preserve"> </w:t>
      </w:r>
      <w:r>
        <w:rPr>
          <w:b/>
          <w:bCs/>
        </w:rPr>
        <w:t xml:space="preserve">Refute</w:t>
      </w:r>
      <w:r>
        <w:t xml:space="preserve"> </w:t>
      </w:r>
      <w:r>
        <w:t xml:space="preserve">the Arminian reading that reduces the blinding to a secondary factor; the text’s rhetorical point depends on the blindness being total and the solution being creative/sovereign illumination.</w:t>
      </w:r>
    </w:p>
    <w:p>
      <w:pPr>
        <w:pStyle w:val="BodyText"/>
      </w:pPr>
      <w:r>
        <w:rPr>
          <w:b/>
          <w:bCs/>
        </w:rPr>
        <w:t xml:space="preserve">The</w:t>
      </w:r>
      <w:r>
        <w:rPr>
          <w:b/>
          <w:bCs/>
        </w:rPr>
        <w:t xml:space="preserve"> </w:t>
      </w:r>
      <w:r>
        <w:rPr>
          <w:b/>
          <w:bCs/>
        </w:rPr>
        <w:t xml:space="preserve">“light affliction”</w:t>
      </w:r>
      <w:r>
        <w:rPr>
          <w:b/>
          <w:bCs/>
        </w:rPr>
        <w:t xml:space="preserve"> </w:t>
      </w:r>
      <w:r>
        <w:rPr>
          <w:b/>
          <w:bCs/>
        </w:rPr>
        <w:t xml:space="preserve">and Christian suffering:</w:t>
      </w:r>
      <w:r>
        <w:t xml:space="preserve"> </w:t>
      </w:r>
      <w:r>
        <w:t xml:space="preserve">Verse 17 —</w:t>
      </w:r>
      <w:r>
        <w:t xml:space="preserve"> </w:t>
      </w:r>
      <w:r>
        <w:t xml:space="preserve">“our light and momentary troubles are achieving for us an eternal glory that far outweighs them all”</w:t>
      </w:r>
      <w:r>
        <w:t xml:space="preserve"> </w:t>
      </w:r>
      <w:r>
        <w:t xml:space="preserve">— has generated significant debate. Some read</w:t>
      </w:r>
      <w:r>
        <w:t xml:space="preserve"> </w:t>
      </w:r>
      <w:r>
        <w:t xml:space="preserve">“achieving”</w:t>
      </w:r>
      <w:r>
        <w:t xml:space="preserve"> </w:t>
      </w:r>
      <w:r>
        <w:t xml:space="preserve">(κατεργάζεται) as merely temporal sequence: the affliction will be followed by glory. The Reformed reading, supported by the grammar and the logic of the passage, is stronger: the affliction is itself productive — it is the instrument through which glory is being worked. This is not works-righteousness (the ground of glory remains entirely Christ’s resurrection, v. 14) but a theology of sanctifying suffering — suffering is not incidental to the Christian life but is being used by God toward a definite end. This reading is also consistent with Romans 5:3–5 and James 1:2–4.</w:t>
      </w:r>
      <w:r>
        <w:t xml:space="preserve"> </w:t>
      </w:r>
      <w:r>
        <w:rPr>
          <w:b/>
          <w:bCs/>
        </w:rPr>
        <w:t xml:space="preserve">Qualify</w:t>
      </w:r>
      <w:r>
        <w:t xml:space="preserve"> </w:t>
      </w:r>
      <w:r>
        <w:t xml:space="preserve">any reading that reduces verse 17 to mere temporal sequencing — the text’s grammar and argument require a productive, instrumental relationship between present affliction and future glory.</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Genesis 1:3; 2 Corinthians 4:6</w:t>
      </w:r>
      <w:r>
        <w:t xml:space="preserve"> </w:t>
      </w:r>
      <w:r>
        <w:t xml:space="preserve">— Paul explicitly draws the parallel: the God who commanded light at creation is the same God who shines the light of the gospel into darkened hearts. The new creation is sovereign illumination by the same divine word.</w:t>
      </w:r>
    </w:p>
    <w:p>
      <w:pPr>
        <w:pStyle w:val="Compact"/>
        <w:numPr>
          <w:ilvl w:val="0"/>
          <w:numId w:val="1001"/>
        </w:numPr>
      </w:pPr>
      <w:r>
        <w:rPr>
          <w:b/>
          <w:bCs/>
        </w:rPr>
        <w:t xml:space="preserve">Psalm 116:10</w:t>
      </w:r>
      <w:r>
        <w:t xml:space="preserve"> </w:t>
      </w:r>
      <w:r>
        <w:t xml:space="preserve">—</w:t>
      </w:r>
      <w:r>
        <w:t xml:space="preserve"> </w:t>
      </w:r>
      <w:r>
        <w:t xml:space="preserve">“I believed, therefore I have spoken”</w:t>
      </w:r>
      <w:r>
        <w:t xml:space="preserve"> </w:t>
      </w:r>
      <w:r>
        <w:t xml:space="preserve">— Paul quotes this in verse 13 as the faith-speech connection that drives continued proclamation. The psalmist’s trust through suffering becomes the apostolic warrant for ongoing proclamation despite affliction.</w:t>
      </w:r>
    </w:p>
    <w:p>
      <w:pPr>
        <w:pStyle w:val="Compact"/>
        <w:numPr>
          <w:ilvl w:val="0"/>
          <w:numId w:val="1001"/>
        </w:numPr>
      </w:pPr>
      <w:r>
        <w:rPr>
          <w:b/>
          <w:bCs/>
        </w:rPr>
        <w:t xml:space="preserve">Romans 8:17–18</w:t>
      </w:r>
      <w:r>
        <w:t xml:space="preserve"> </w:t>
      </w:r>
      <w:r>
        <w:t xml:space="preserve">—</w:t>
      </w:r>
      <w:r>
        <w:t xml:space="preserve"> </w:t>
      </w:r>
      <w:r>
        <w:t xml:space="preserve">“If we share in His sufferings, we may also share in His glory… the sufferings of this present time are not worth comparing with the glory to be revealed.”</w:t>
      </w:r>
      <w:r>
        <w:t xml:space="preserve"> </w:t>
      </w:r>
      <w:r>
        <w:t xml:space="preserve">Directly parallel to 4:17–18; Paul’s consistent theology of suffering as the pathway to shared glory.</w:t>
      </w:r>
    </w:p>
    <w:p>
      <w:pPr>
        <w:pStyle w:val="Compact"/>
        <w:numPr>
          <w:ilvl w:val="0"/>
          <w:numId w:val="1001"/>
        </w:numPr>
      </w:pPr>
      <w:r>
        <w:rPr>
          <w:b/>
          <w:bCs/>
        </w:rPr>
        <w:t xml:space="preserve">1 Corinthians 1:26–29</w:t>
      </w:r>
      <w:r>
        <w:t xml:space="preserve"> </w:t>
      </w:r>
      <w:r>
        <w:t xml:space="preserve">— God deliberately chose the weak, foolish, and low to shame the strong and wise, so that no human being may boast before God. The theological principle behind</w:t>
      </w:r>
      <w:r>
        <w:t xml:space="preserve"> </w:t>
      </w:r>
      <w:r>
        <w:t xml:space="preserve">“jars of clay”</w:t>
      </w:r>
      <w:r>
        <w:t xml:space="preserve"> </w:t>
      </w:r>
      <w:r>
        <w:t xml:space="preserve">— God’s intentional use of human weakness to display divine power and foreclose human boasting.</w:t>
      </w:r>
    </w:p>
    <w:p>
      <w:pPr>
        <w:pStyle w:val="Compact"/>
        <w:numPr>
          <w:ilvl w:val="0"/>
          <w:numId w:val="1001"/>
        </w:numPr>
      </w:pPr>
      <w:r>
        <w:rPr>
          <w:b/>
          <w:bCs/>
        </w:rPr>
        <w:t xml:space="preserve">Philippians 1:20–21; 3:10–11</w:t>
      </w:r>
      <w:r>
        <w:t xml:space="preserve"> </w:t>
      </w:r>
      <w:r>
        <w:t xml:space="preserve">— Paul’s consistent eschatological orientation in the face of suffering:</w:t>
      </w:r>
      <w:r>
        <w:t xml:space="preserve"> </w:t>
      </w:r>
      <w:r>
        <w:t xml:space="preserve">“to live is Christ, to die is gain”</w:t>
      </w:r>
      <w:r>
        <w:t xml:space="preserve">;</w:t>
      </w:r>
      <w:r>
        <w:t xml:space="preserve"> </w:t>
      </w:r>
      <w:r>
        <w:t xml:space="preserve">“I want to know Christ — yes, to know the power of His resurrection and participation in His sufferings.”</w:t>
      </w:r>
      <w:r>
        <w:t xml:space="preserve"> </w:t>
      </w:r>
      <w:r>
        <w:t xml:space="preserve">Canonical echo of the death/life paradox of 2 Corinthians 4:10–12.</w:t>
      </w:r>
    </w:p>
    <w:p>
      <w:r>
        <w:pict>
          <v:rect style="width:0;height:1.5pt" o:hralign="center" o:hrstd="t" o:hr="t"/>
        </w:pict>
      </w:r>
    </w:p>
    <w:p>
      <w:pPr>
        <w:pStyle w:val="FirstParagraph"/>
      </w:pPr>
      <w:r>
        <w:rPr>
          <w:b/>
          <w:bCs/>
        </w:rPr>
        <w:t xml:space="preserve">Aim:</w:t>
      </w:r>
      <w:r>
        <w:t xml:space="preserve"> </w:t>
      </w:r>
      <w:r>
        <w:t xml:space="preserve">To demonstrate that the intentional weakness of the gospel vessel is not a problem to be solved but the very mechanism through which God displays His power — so that those who carry the gospel in fragile lives will endure without losing heart.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“Therefore, since through God’s mercy we have this ministry, we do not lose heart.”</w:t>
            </w:r>
          </w:p>
        </w:tc>
        <w:tc>
          <w:tcPr/>
          <w:p>
            <w:pPr>
              <w:pStyle w:val="Compact"/>
            </w:pPr>
            <w:r>
              <w:t xml:space="preserve">“Therefore”</w:t>
            </w:r>
            <w:r>
              <w:t xml:space="preserve"> </w:t>
            </w:r>
            <w:r>
              <w:t xml:space="preserve">links back to ch. 3’s new covenant argument. Mercy as the ground; not losing heart as the result.</w:t>
            </w:r>
          </w:p>
        </w:tc>
      </w:tr>
      <w:tr>
        <w:tc>
          <w:tcPr/>
          <w:p>
            <w:pPr>
              <w:pStyle w:val="Compact"/>
            </w:pPr>
            <w:r>
              <w:t xml:space="preserve">4:2</w:t>
            </w:r>
          </w:p>
        </w:tc>
        <w:tc>
          <w:tcPr/>
          <w:p>
            <w:pPr>
              <w:pStyle w:val="Compact"/>
            </w:pPr>
            <w:r>
              <w:t xml:space="preserve">Renunciation of secret, shameful, deceptive methods; open proclamation that commends itself to every conscience</w:t>
            </w:r>
          </w:p>
        </w:tc>
        <w:tc>
          <w:tcPr/>
          <w:p>
            <w:pPr>
              <w:pStyle w:val="Compact"/>
            </w:pPr>
            <w:r>
              <w:t xml:space="preserve">The alternative to manipulation is transparent proclamation. Ministry integrity is non-negotiable.</w:t>
            </w:r>
          </w:p>
        </w:tc>
      </w:tr>
      <w:tr>
        <w:tc>
          <w:tcPr/>
          <w:p>
            <w:pPr>
              <w:pStyle w:val="Compact"/>
            </w:pPr>
            <w:r>
              <w:t xml:space="preserve">4:3</w:t>
            </w:r>
          </w:p>
        </w:tc>
        <w:tc>
          <w:tcPr/>
          <w:p>
            <w:pPr>
              <w:pStyle w:val="Compact"/>
            </w:pPr>
            <w:r>
              <w:t xml:space="preserve">If the gospel is veiled, it is veiled to those who are perishing</w:t>
            </w:r>
          </w:p>
        </w:tc>
        <w:tc>
          <w:tcPr/>
          <w:p>
            <w:pPr>
              <w:pStyle w:val="Compact"/>
            </w:pPr>
            <w:r>
              <w:t xml:space="preserve">Addresses the charge that Paul’s ministry has failed because not everyone believes.</w:t>
            </w:r>
          </w:p>
        </w:tc>
      </w:tr>
      <w:tr>
        <w:tc>
          <w:tcPr/>
          <w:p>
            <w:pPr>
              <w:pStyle w:val="Compact"/>
            </w:pPr>
            <w:r>
              <w:t xml:space="preserve">4:4</w:t>
            </w:r>
          </w:p>
        </w:tc>
        <w:tc>
          <w:tcPr/>
          <w:p>
            <w:pPr>
              <w:pStyle w:val="Compact"/>
            </w:pPr>
            <w:r>
              <w:t xml:space="preserve">The god of this age has blinded the minds of unbelievers, preventing them from seeing the glory of Christ</w:t>
            </w:r>
          </w:p>
        </w:tc>
        <w:tc>
          <w:tcPr/>
          <w:p>
            <w:pPr>
              <w:pStyle w:val="Compact"/>
            </w:pPr>
            <w:r>
              <w:t xml:space="preserve">Theological explanation of unbelief: satanic blindness, not deficient rhetoric.</w:t>
            </w:r>
          </w:p>
        </w:tc>
      </w:tr>
      <w:tr>
        <w:tc>
          <w:tcPr/>
          <w:p>
            <w:pPr>
              <w:pStyle w:val="Compact"/>
            </w:pPr>
            <w:r>
              <w:t xml:space="preserve">4:5</w:t>
            </w:r>
          </w:p>
        </w:tc>
        <w:tc>
          <w:tcPr/>
          <w:p>
            <w:pPr>
              <w:pStyle w:val="Compact"/>
            </w:pPr>
            <w:r>
              <w:t xml:space="preserve">“We do not preach ourselves but Jesus Christ as Lord, and ourselves as your servants for Jesus’ sake.”</w:t>
            </w:r>
          </w:p>
        </w:tc>
        <w:tc>
          <w:tcPr/>
          <w:p>
            <w:pPr>
              <w:pStyle w:val="Compact"/>
            </w:pPr>
            <w:r>
              <w:t xml:space="preserve">The content of authentic ministry: Christ-centered, self-effacing.</w:t>
            </w:r>
          </w:p>
        </w:tc>
      </w:tr>
      <w:tr>
        <w:tc>
          <w:tcPr/>
          <w:p>
            <w:pPr>
              <w:pStyle w:val="Compact"/>
            </w:pPr>
            <w:r>
              <w:t xml:space="preserve">4:6</w:t>
            </w:r>
          </w:p>
        </w:tc>
        <w:tc>
          <w:tcPr/>
          <w:p>
            <w:pPr>
              <w:pStyle w:val="Compact"/>
            </w:pPr>
            <w:r>
              <w:t xml:space="preserve">God who commanded light at creation has shone the light of the knowledge of His glory in the face of Christ into our hearts</w:t>
            </w:r>
          </w:p>
        </w:tc>
        <w:tc>
          <w:tcPr/>
          <w:p>
            <w:pPr>
              <w:pStyle w:val="Compact"/>
            </w:pPr>
            <w:r>
              <w:t xml:space="preserve">The new creation parallel: gospel illumination as sovereign creative act.</w:t>
            </w:r>
          </w:p>
        </w:tc>
      </w:tr>
      <w:tr>
        <w:tc>
          <w:tcPr/>
          <w:p>
            <w:pPr>
              <w:pStyle w:val="Compact"/>
            </w:pPr>
            <w:r>
              <w:t xml:space="preserve">4:7</w:t>
            </w:r>
          </w:p>
        </w:tc>
        <w:tc>
          <w:tcPr/>
          <w:p>
            <w:pPr>
              <w:pStyle w:val="Compact"/>
            </w:pPr>
            <w:r>
              <w:t xml:space="preserve">“We have this treasure in jars of clay to show that this all-surpassing power is from God and not from us.”</w:t>
            </w:r>
          </w:p>
        </w:tc>
        <w:tc>
          <w:tcPr/>
          <w:p>
            <w:pPr>
              <w:pStyle w:val="Compact"/>
            </w:pPr>
            <w:r>
              <w:t xml:space="preserve">The theological center. The weakness is intentional and purposive.</w:t>
            </w:r>
          </w:p>
        </w:tc>
      </w:tr>
      <w:tr>
        <w:tc>
          <w:tcPr/>
          <w:p>
            <w:pPr>
              <w:pStyle w:val="Compact"/>
            </w:pPr>
            <w:r>
              <w:t xml:space="preserve">4:8–9</w:t>
            </w:r>
          </w:p>
        </w:tc>
        <w:tc>
          <w:tcPr/>
          <w:p>
            <w:pPr>
              <w:pStyle w:val="Compact"/>
            </w:pPr>
            <w:r>
              <w:t xml:space="preserve">Four contrasts: pressed but not crushed; perplexed but not in despair; persecuted but not abandoned; struck down but not destroyed</w:t>
            </w:r>
          </w:p>
        </w:tc>
        <w:tc>
          <w:tcPr/>
          <w:p>
            <w:pPr>
              <w:pStyle w:val="Compact"/>
            </w:pPr>
            <w:r>
              <w:t xml:space="preserve">The limits of suffering. Four</w:t>
            </w:r>
            <w:r>
              <w:t xml:space="preserve"> </w:t>
            </w:r>
            <w:r>
              <w:t xml:space="preserve">“but nots”</w:t>
            </w:r>
            <w:r>
              <w:t xml:space="preserve"> </w:t>
            </w:r>
            <w:r>
              <w:t xml:space="preserve">— suffering is real and bounded.</w:t>
            </w:r>
          </w:p>
        </w:tc>
      </w:tr>
      <w:tr>
        <w:tc>
          <w:tcPr/>
          <w:p>
            <w:pPr>
              <w:pStyle w:val="Compact"/>
            </w:pPr>
            <w:r>
              <w:t xml:space="preserve">4:10–11</w:t>
            </w:r>
          </w:p>
        </w:tc>
        <w:tc>
          <w:tcPr/>
          <w:p>
            <w:pPr>
              <w:pStyle w:val="Compact"/>
            </w:pPr>
            <w:r>
              <w:t xml:space="preserve">Carrying in the body the death of Jesus, so that the life of Jesus may be revealed</w:t>
            </w:r>
          </w:p>
        </w:tc>
        <w:tc>
          <w:tcPr/>
          <w:p>
            <w:pPr>
              <w:pStyle w:val="Compact"/>
            </w:pPr>
            <w:r>
              <w:t xml:space="preserve">Death-life paradox: the dying of the apostle is the vehicle for displaying the risen life of Christ.</w:t>
            </w:r>
          </w:p>
        </w:tc>
      </w:tr>
      <w:tr>
        <w:tc>
          <w:tcPr/>
          <w:p>
            <w:pPr>
              <w:pStyle w:val="Compact"/>
            </w:pPr>
            <w:r>
              <w:t xml:space="preserve">4:12</w:t>
            </w:r>
          </w:p>
        </w:tc>
        <w:tc>
          <w:tcPr/>
          <w:p>
            <w:pPr>
              <w:pStyle w:val="Compact"/>
            </w:pPr>
            <w:r>
              <w:t xml:space="preserve">“So then, death is at work in us, but life is at work in you.”</w:t>
            </w:r>
          </w:p>
        </w:tc>
        <w:tc>
          <w:tcPr/>
          <w:p>
            <w:pPr>
              <w:pStyle w:val="Compact"/>
            </w:pPr>
            <w:r>
              <w:t xml:space="preserve">The apostolic suffering serves the Corinthians’ life — a pastoral application of v. 10–11.</w:t>
            </w:r>
          </w:p>
        </w:tc>
      </w:tr>
      <w:tr>
        <w:tc>
          <w:tcPr/>
          <w:p>
            <w:pPr>
              <w:pStyle w:val="Compact"/>
            </w:pPr>
            <w:r>
              <w:t xml:space="preserve">4:13</w:t>
            </w:r>
          </w:p>
        </w:tc>
        <w:tc>
          <w:tcPr/>
          <w:p>
            <w:pPr>
              <w:pStyle w:val="Compact"/>
            </w:pPr>
            <w:r>
              <w:t xml:space="preserve">“I believed; therefore I have spoken”</w:t>
            </w:r>
            <w:r>
              <w:t xml:space="preserve"> </w:t>
            </w:r>
            <w:r>
              <w:t xml:space="preserve">— same spirit of faith drives continued proclamation</w:t>
            </w:r>
          </w:p>
        </w:tc>
        <w:tc>
          <w:tcPr/>
          <w:p>
            <w:pPr>
              <w:pStyle w:val="Compact"/>
            </w:pPr>
            <w:r>
              <w:t xml:space="preserve">Psalm 116:10 applied: belief compels speech despite suffering.</w:t>
            </w:r>
          </w:p>
        </w:tc>
      </w:tr>
      <w:tr>
        <w:tc>
          <w:tcPr/>
          <w:p>
            <w:pPr>
              <w:pStyle w:val="Compact"/>
            </w:pPr>
            <w:r>
              <w:t xml:space="preserve">4:14</w:t>
            </w:r>
          </w:p>
        </w:tc>
        <w:tc>
          <w:tcPr/>
          <w:p>
            <w:pPr>
              <w:pStyle w:val="Compact"/>
            </w:pPr>
            <w:r>
              <w:t xml:space="preserve">The God who raised Jesus will also raise us — eschatological grounding</w:t>
            </w:r>
          </w:p>
        </w:tc>
        <w:tc>
          <w:tcPr/>
          <w:p>
            <w:pPr>
              <w:pStyle w:val="Compact"/>
            </w:pPr>
            <w:r>
              <w:t xml:space="preserve">The resurrection as the ultimate logic for endurance.</w:t>
            </w:r>
          </w:p>
        </w:tc>
      </w:tr>
      <w:tr>
        <w:tc>
          <w:tcPr/>
          <w:p>
            <w:pPr>
              <w:pStyle w:val="Compact"/>
            </w:pPr>
            <w:r>
              <w:t xml:space="preserve">4:15</w:t>
            </w:r>
          </w:p>
        </w:tc>
        <w:tc>
          <w:tcPr/>
          <w:p>
            <w:pPr>
              <w:pStyle w:val="Compact"/>
            </w:pPr>
            <w:r>
              <w:t xml:space="preserve">All this is for the Corinthians’ sake — grace spreading, thanksgiving increasing, God’s glory magnified</w:t>
            </w:r>
          </w:p>
        </w:tc>
        <w:tc>
          <w:tcPr/>
          <w:p>
            <w:pPr>
              <w:pStyle w:val="Compact"/>
            </w:pPr>
            <w:r>
              <w:t xml:space="preserve">The purpose of ministry and suffering: the expansion of grace and God’s glory.</w:t>
            </w:r>
          </w:p>
        </w:tc>
      </w:tr>
      <w:tr>
        <w:tc>
          <w:tcPr/>
          <w:p>
            <w:pPr>
              <w:pStyle w:val="Compact"/>
            </w:pPr>
            <w:r>
              <w:t xml:space="preserve">4:16</w:t>
            </w:r>
          </w:p>
        </w:tc>
        <w:tc>
          <w:tcPr/>
          <w:p>
            <w:pPr>
              <w:pStyle w:val="Compact"/>
            </w:pPr>
            <w:r>
              <w:t xml:space="preserve">“We do not lose heart. Though outwardly we are wasting away, yet inwardly we are being renewed day by day.”</w:t>
            </w:r>
          </w:p>
        </w:tc>
        <w:tc>
          <w:tcPr/>
          <w:p>
            <w:pPr>
              <w:pStyle w:val="Compact"/>
            </w:pPr>
            <w:r>
              <w:t xml:space="preserve">Repetition of v. 1 with development: the outer/inner contrast. Outward decay is real; inward renewal is equally real.</w:t>
            </w:r>
          </w:p>
        </w:tc>
      </w:tr>
      <w:tr>
        <w:tc>
          <w:tcPr/>
          <w:p>
            <w:pPr>
              <w:pStyle w:val="Compact"/>
            </w:pPr>
            <w:r>
              <w:t xml:space="preserve">4:17</w:t>
            </w:r>
          </w:p>
        </w:tc>
        <w:tc>
          <w:tcPr/>
          <w:p>
            <w:pPr>
              <w:pStyle w:val="Compact"/>
            </w:pPr>
            <w:r>
              <w:t xml:space="preserve">Light and momentary troubles are achieving an eternal weight of glory</w:t>
            </w:r>
          </w:p>
        </w:tc>
        <w:tc>
          <w:tcPr/>
          <w:p>
            <w:pPr>
              <w:pStyle w:val="Compact"/>
            </w:pPr>
            <w:r>
              <w:t xml:space="preserve">The productive, instrumental relationship between present suffering and future glory.</w:t>
            </w:r>
          </w:p>
        </w:tc>
      </w:tr>
      <w:tr>
        <w:tc>
          <w:tcPr/>
          <w:p>
            <w:pPr>
              <w:pStyle w:val="Compact"/>
            </w:pPr>
            <w:r>
              <w:t xml:space="preserve">4:18</w:t>
            </w:r>
          </w:p>
        </w:tc>
        <w:tc>
          <w:tcPr/>
          <w:p>
            <w:pPr>
              <w:pStyle w:val="Compact"/>
            </w:pPr>
            <w:r>
              <w:t xml:space="preserve">“We fix our eyes not on what is seen, but on what is unseen… for what is unseen is eternal.”</w:t>
            </w:r>
          </w:p>
        </w:tc>
        <w:tc>
          <w:tcPr/>
          <w:p>
            <w:pPr>
              <w:pStyle w:val="Compact"/>
            </w:pPr>
            <w:r>
              <w:t xml:space="preserve">The epistemological conclusion: seeing differently is the foundation of not losing heart.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4:1–2</w:t>
            </w:r>
          </w:p>
        </w:tc>
        <w:tc>
          <w:tcPr/>
          <w:p>
            <w:pPr>
              <w:pStyle w:val="Compact"/>
            </w:pPr>
            <w:r>
              <w:t xml:space="preserve">The Mercy That Sustains: Ministry Given, Not Earned</w:t>
            </w:r>
          </w:p>
        </w:tc>
      </w:tr>
      <w:tr>
        <w:tc>
          <w:tcPr/>
          <w:p>
            <w:pPr>
              <w:pStyle w:val="Compact"/>
            </w:pPr>
            <w:r>
              <w:t xml:space="preserve">2</w:t>
            </w:r>
          </w:p>
        </w:tc>
        <w:tc>
          <w:tcPr/>
          <w:p>
            <w:pPr>
              <w:pStyle w:val="Compact"/>
            </w:pPr>
            <w:r>
              <w:t xml:space="preserve">4:3–6</w:t>
            </w:r>
          </w:p>
        </w:tc>
        <w:tc>
          <w:tcPr/>
          <w:p>
            <w:pPr>
              <w:pStyle w:val="Compact"/>
            </w:pPr>
            <w:r>
              <w:t xml:space="preserve">The Blindness and Its Remedy: Why Preaching Is Sovereign</w:t>
            </w:r>
          </w:p>
        </w:tc>
      </w:tr>
      <w:tr>
        <w:tc>
          <w:tcPr/>
          <w:p>
            <w:pPr>
              <w:pStyle w:val="Compact"/>
            </w:pPr>
            <w:r>
              <w:t xml:space="preserve">3</w:t>
            </w:r>
          </w:p>
        </w:tc>
        <w:tc>
          <w:tcPr/>
          <w:p>
            <w:pPr>
              <w:pStyle w:val="Compact"/>
            </w:pPr>
            <w:r>
              <w:t xml:space="preserve">4:7</w:t>
            </w:r>
          </w:p>
        </w:tc>
        <w:tc>
          <w:tcPr/>
          <w:p>
            <w:pPr>
              <w:pStyle w:val="Compact"/>
            </w:pPr>
            <w:r>
              <w:t xml:space="preserve">The Governing Paradox: Surpassing Treasure, Ordinary Vessel</w:t>
            </w:r>
          </w:p>
        </w:tc>
      </w:tr>
      <w:tr>
        <w:tc>
          <w:tcPr/>
          <w:p>
            <w:pPr>
              <w:pStyle w:val="Compact"/>
            </w:pPr>
            <w:r>
              <w:t xml:space="preserve">4</w:t>
            </w:r>
          </w:p>
        </w:tc>
        <w:tc>
          <w:tcPr/>
          <w:p>
            <w:pPr>
              <w:pStyle w:val="Compact"/>
            </w:pPr>
            <w:r>
              <w:t xml:space="preserve">4:8–12</w:t>
            </w:r>
          </w:p>
        </w:tc>
        <w:tc>
          <w:tcPr/>
          <w:p>
            <w:pPr>
              <w:pStyle w:val="Compact"/>
            </w:pPr>
            <w:r>
              <w:t xml:space="preserve">The Shape of Apostolic Suffering: Real but Bounded, Dying but Life-Giving</w:t>
            </w:r>
          </w:p>
        </w:tc>
      </w:tr>
      <w:tr>
        <w:tc>
          <w:tcPr/>
          <w:p>
            <w:pPr>
              <w:pStyle w:val="Compact"/>
            </w:pPr>
            <w:r>
              <w:t xml:space="preserve">5</w:t>
            </w:r>
          </w:p>
        </w:tc>
        <w:tc>
          <w:tcPr/>
          <w:p>
            <w:pPr>
              <w:pStyle w:val="Compact"/>
            </w:pPr>
            <w:r>
              <w:t xml:space="preserve">4:13–15</w:t>
            </w:r>
          </w:p>
        </w:tc>
        <w:tc>
          <w:tcPr/>
          <w:p>
            <w:pPr>
              <w:pStyle w:val="Compact"/>
            </w:pPr>
            <w:r>
              <w:t xml:space="preserve">The Faith That Speaks: Resurrection Hope as the Ground of Proclamation</w:t>
            </w:r>
          </w:p>
        </w:tc>
      </w:tr>
      <w:tr>
        <w:tc>
          <w:tcPr/>
          <w:p>
            <w:pPr>
              <w:pStyle w:val="Compact"/>
            </w:pPr>
            <w:r>
              <w:t xml:space="preserve">6</w:t>
            </w:r>
          </w:p>
        </w:tc>
        <w:tc>
          <w:tcPr/>
          <w:p>
            <w:pPr>
              <w:pStyle w:val="Compact"/>
            </w:pPr>
            <w:r>
              <w:t xml:space="preserve">4:16–18</w:t>
            </w:r>
          </w:p>
        </w:tc>
        <w:tc>
          <w:tcPr/>
          <w:p>
            <w:pPr>
              <w:pStyle w:val="Compact"/>
            </w:pPr>
            <w:r>
              <w:t xml:space="preserve">The Reframe That Makes Endurance Possible: Seen vs. Unseen, Temporary vs. Eternal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surpassing power displayed through the frailty and suffering of gospel ministers.</w:t>
      </w:r>
    </w:p>
    <w:p>
      <w:pPr>
        <w:pStyle w:val="BodyText"/>
      </w:pPr>
      <w:r>
        <w:rPr>
          <w:b/>
          <w:bCs/>
        </w:rPr>
        <w:t xml:space="preserve">Primary Claim:</w:t>
      </w:r>
      <w:r>
        <w:t xml:space="preserve"> </w:t>
      </w:r>
      <w:r>
        <w:t xml:space="preserve">God intentionally houses His surpassing gospel treasure in weak, suffering vessels so that no one mistakes the power for human, and so that the minister who understands this has every reason to endure without losing heart.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ministry’s weakness as God’s design, not God’s neglect.</w:t>
      </w:r>
      <w:r>
        <w:t xml:space="preserve"> </w:t>
      </w:r>
      <w:r>
        <w:rPr>
          <w:i/>
          <w:iCs/>
        </w:rPr>
        <w:t xml:space="preserve">(Mind/Belief)</w:t>
      </w:r>
      <w:r>
        <w:t xml:space="preserve"> </w:t>
      </w:r>
      <w:r>
        <w:t xml:space="preserve">If you carry the gospel and feel the mismatch between the magnitude of the message and the ordinariness of your life — your unremarkable gifts, your ordinary platform, your unimpressive results — Paul’s answer is not to encourage you to try harder but to tell you that the mismatch is the point. God is not embarrassed by your jar-of-clay status. He chose it. The surpassing power being of God rather than of you is the whole rationale. Stop reading your weakness as evidence of disqualification and start reading it as evidence of God’s intentional design.</w:t>
      </w:r>
    </w:p>
    <w:p>
      <w:pPr>
        <w:pStyle w:val="BodyText"/>
      </w:pPr>
      <w:r>
        <w:rPr>
          <w:b/>
          <w:bCs/>
        </w:rPr>
        <w:t xml:space="preserve">2. Examine whether your ministry methods are shaped more by effectiveness anxiety than by the gospel’s own integrity.</w:t>
      </w:r>
      <w:r>
        <w:t xml:space="preserve"> </w:t>
      </w:r>
      <w:r>
        <w:rPr>
          <w:i/>
          <w:iCs/>
        </w:rPr>
        <w:t xml:space="preserve">(Will/Behavior)</w:t>
      </w:r>
      <w:r>
        <w:t xml:space="preserve"> </w:t>
      </w:r>
      <w:r>
        <w:t xml:space="preserve">Paul’s list of renounced methods in verse 2 — deception, distortion, shameful hidden things — is the ancient equivalent of modern ministry manipulation: the emotional pressure, the inflated promises, the engineered response. The pressure to make the gospel</w:t>
      </w:r>
      <w:r>
        <w:t xml:space="preserve"> </w:t>
      </w:r>
      <w:r>
        <w:t xml:space="preserve">“work”</w:t>
      </w:r>
      <w:r>
        <w:t xml:space="preserve"> </w:t>
      </w:r>
      <w:r>
        <w:t xml:space="preserve">by supplementing it with human technique is the same in every generation. The discipline of transparent proclamation — commending yourself to every person’s conscience in the sight of God — is a concrete, behavioral choice. What methods have crept into your ministry or witness because you were afraid honest proclamation wasn’t enough?</w:t>
      </w:r>
    </w:p>
    <w:p>
      <w:pPr>
        <w:pStyle w:val="BodyText"/>
      </w:pPr>
      <w:r>
        <w:rPr>
          <w:b/>
          <w:bCs/>
        </w:rPr>
        <w:t xml:space="preserve">3. Let the death-life paradox of verses 10–12 become the interpretive lens through which you read your own suffering.</w:t>
      </w:r>
      <w:r>
        <w:t xml:space="preserve"> </w:t>
      </w:r>
      <w:r>
        <w:rPr>
          <w:i/>
          <w:iCs/>
        </w:rPr>
        <w:t xml:space="preserve">(Mind/Belief)</w:t>
      </w:r>
      <w:r>
        <w:t xml:space="preserve"> </w:t>
      </w:r>
      <w:r>
        <w:t xml:space="preserve">Paul does not say</w:t>
      </w:r>
      <w:r>
        <w:t xml:space="preserve"> </w:t>
      </w:r>
      <w:r>
        <w:t xml:space="preserve">“despite my suffering, Christ is at work.”</w:t>
      </w:r>
      <w:r>
        <w:t xml:space="preserve"> </w:t>
      </w:r>
      <w:r>
        <w:t xml:space="preserve">He says</w:t>
      </w:r>
      <w:r>
        <w:t xml:space="preserve"> </w:t>
      </w:r>
      <w:r>
        <w:rPr>
          <w:i/>
          <w:iCs/>
        </w:rPr>
        <w:t xml:space="preserve">through</w:t>
      </w:r>
      <w:r>
        <w:t xml:space="preserve"> </w:t>
      </w:r>
      <w:r>
        <w:t xml:space="preserve">the suffering — the dying — the life of Jesus is being revealed. This is not passive resignation but an active theological reframe: your suffering is not interrupting the display of Christ’s life; it is the vehicle for it. If you are in a season of weakness, loss, or pain, the question is not</w:t>
      </w:r>
      <w:r>
        <w:t xml:space="preserve"> </w:t>
      </w:r>
      <w:r>
        <w:t xml:space="preserve">“when will this end so that my life can show Christ again?”</w:t>
      </w:r>
      <w:r>
        <w:t xml:space="preserve"> </w:t>
      </w:r>
      <w:r>
        <w:t xml:space="preserve">but</w:t>
      </w:r>
      <w:r>
        <w:t xml:space="preserve"> </w:t>
      </w:r>
      <w:r>
        <w:t xml:space="preserve">“how is the life of Jesus appearing through this dying even now?”</w:t>
      </w:r>
    </w:p>
    <w:p>
      <w:pPr>
        <w:pStyle w:val="BodyText"/>
      </w:pPr>
      <w:r>
        <w:rPr>
          <w:b/>
          <w:bCs/>
        </w:rPr>
        <w:t xml:space="preserve">4. Let the eschatological reframe of verses 17–18 produce actual, daily renewed vision — not merely doctrinal assent.</w:t>
      </w:r>
      <w:r>
        <w:t xml:space="preserve"> </w:t>
      </w:r>
      <w:r>
        <w:rPr>
          <w:i/>
          <w:iCs/>
        </w:rPr>
        <w:t xml:space="preserve">(Affections/Worship)</w:t>
      </w:r>
      <w:r>
        <w:t xml:space="preserve"> </w:t>
      </w:r>
      <w:r>
        <w:t xml:space="preserve">Paul says</w:t>
      </w:r>
      <w:r>
        <w:t xml:space="preserve"> </w:t>
      </w:r>
      <w:r>
        <w:t xml:space="preserve">“we fix our eyes”</w:t>
      </w:r>
      <w:r>
        <w:t xml:space="preserve"> </w:t>
      </w:r>
      <w:r>
        <w:t xml:space="preserve">— an active, habitual, disciplined looking. The unseen things are real. The eternal weight of glory is not a metaphor for feeling better; it is an objective future reality already secured by the resurrection of Jesus (v. 14). The daily renewal of verse 16 is not automatic — it is the fruit of a habitual reorientation of vision. What would it look like, concretely in your daily life, to genuinely treat the unseen things as more real than the seen? Not as pious aspiration, but as a practice — a fixing of eyes?</w:t>
      </w:r>
    </w:p>
    <w:p>
      <w:pPr>
        <w:pStyle w:val="BodyText"/>
      </w:pPr>
      <w:r>
        <w:rPr>
          <w:b/>
          <w:bCs/>
        </w:rPr>
        <w:t xml:space="preserve">5. Where unbelief seems impervious to your witness, stop diagnosing the problem as rhetorical and start praying for sovereign illumination.</w:t>
      </w:r>
      <w:r>
        <w:t xml:space="preserve"> </w:t>
      </w:r>
      <w:r>
        <w:rPr>
          <w:i/>
          <w:iCs/>
        </w:rPr>
        <w:t xml:space="preserve">(Will/Behavior and Affections/Worship)</w:t>
      </w:r>
      <w:r>
        <w:t xml:space="preserve"> </w:t>
      </w:r>
      <w:r>
        <w:t xml:space="preserve">Verse 4 explains unbelief as satanic blinding; verse 6 explains conversion as sovereign illumination by the God who commands light from nothing. If this is true, then the most powerful thing you can do for an unbelieving friend, family member, or community is not to find a better argument or a more compelling presentation — though faithful proclamation matters — but to pray for the God who commands light into darkness to open blind eyes. Have you been relying on the persuasiveness of your witness while neglecting the prayer that is the only thing that can actually accomplish what the witness cannot?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Corinthians 4 is one of Scripture’s most theologically precise statements about the relationship between divine power and human weakness. It establishes that God’s choice to work through fragile human instruments is not an accommodation or a second-best strategy — it is intentional and purposive, designed to ensure that the glory flows to God rather than to the vessel. The passage also contains one of the most explicit biblical statements on the nature of spiritual blindness: unbelief is not primarily a rational problem awaiting a better argument but a satanic blindness requiring divine creative illumination — the same God who spoke light at creation must speak again at regeneration. Finally, the chapter establishes a rigorous theology of productive suffering: present affliction is not incidental to the Christian life but is being instrumentally used by God to work an eschatological weight of glory that dwarfs the suffering by every possible measure.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locus classicus for several central Reformed convictions. The blindness of verse 4 and the illumination of verse 6 together provide exegetical grounding for the Reformed doctrine of total depravity and effectual calling: unbelief is comprehensive spiritual blindness, and conversion is not self-generated but is a sovereign creative act of God — light commanded from outside the person into a darkened heart. The</w:t>
      </w:r>
      <w:r>
        <w:t xml:space="preserve"> </w:t>
      </w:r>
      <w:r>
        <w:t xml:space="preserve">“jars of clay”</w:t>
      </w:r>
      <w:r>
        <w:t xml:space="preserve"> </w:t>
      </w:r>
      <w:r>
        <w:t xml:space="preserve">theology of verse 7 grounds the Reformed insistence that God works through means, and specifically through weak means, so that the glory of the outcome cannot be attributed to the instrument. This is the theological engine behind the plain-style preaching tradition and the Reformed suspicion of rhetorical manipulation in ministry: if the power is genuinely God’s, then supplementing His word with human techniques is not merely unnecessary — it actually obscures the very dynamic the gospel is designed to display. The eschatological framing of verses 14–18 reflects the Reformed understanding that present suffering is not a contradiction of covenant faithfulness but a participation in Christ’s own death-and-resurrection pattern, oriented toward a definite and certain glory grounded in His resurrection.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this treasure in a jar of clay — and that is not the problem; that is the point. God put the surpassing gospel in an ordinary, suffering, fragile you so that when anything happens through it, no one will mistake whose power it was. Stop losing heart over the weakness of the vessel. Start fixing your eyes on the unseen, certain, eternal weight of glory that is being worked even through — especially through — the dying. The God who raised Jesus will raise you. Preach. Endure. Do not lose heart.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w:t>
      </w:r>
      <w:r>
        <w:rPr>
          <w:b/>
          <w:bCs/>
        </w:rPr>
        <w:t xml:space="preserve"> </w:t>
      </w:r>
      <w:r>
        <w:rPr>
          <w:b/>
          <w:bCs/>
        </w:rPr>
        <w:t xml:space="preserve">“we do not lose heart”</w:t>
      </w:r>
      <w:r>
        <w:rPr>
          <w:b/>
          <w:bCs/>
        </w:rPr>
        <w:t xml:space="preserve"> </w:t>
      </w:r>
      <w:r>
        <w:rPr>
          <w:b/>
          <w:bCs/>
        </w:rPr>
        <w:t xml:space="preserve">as a command to manufacture emotional resilience.</w:t>
      </w:r>
      <w:r>
        <w:t xml:space="preserve"> </w:t>
      </w:r>
      <w:r>
        <w:t xml:space="preserve">Paul’s</w:t>
      </w:r>
      <w:r>
        <w:t xml:space="preserve"> </w:t>
      </w:r>
      <w:r>
        <w:t xml:space="preserve">“we do not lose heart”</w:t>
      </w:r>
      <w:r>
        <w:t xml:space="preserve"> </w:t>
      </w:r>
      <w:r>
        <w:t xml:space="preserve">is grounded in a series of theological realities — mercy received, sovereign illumination, resurrection hope, the productive nature of suffering. It is not a call to grit or positive thinking. Preaching that takes verse 1 or verse 16 as a motivational imperative without unpacking the theological foundation underneath it will produce guilt in those who are losing heart (they’re not trying hard enough) and pride in those who aren’t (they’re spiritually stronger). The command is only sustainable on the foundation Paul spends the whole chapter building.</w:t>
      </w:r>
    </w:p>
    <w:p>
      <w:pPr>
        <w:numPr>
          <w:ilvl w:val="0"/>
          <w:numId w:val="1002"/>
        </w:numPr>
      </w:pPr>
      <w:r>
        <w:rPr>
          <w:b/>
          <w:bCs/>
        </w:rPr>
        <w:t xml:space="preserve">Spiritualizing the suffering or skipping too quickly to glory.</w:t>
      </w:r>
      <w:r>
        <w:t xml:space="preserve"> </w:t>
      </w:r>
      <w:r>
        <w:t xml:space="preserve">The four contrasts of verses 8–9 and the</w:t>
      </w:r>
      <w:r>
        <w:t xml:space="preserve"> </w:t>
      </w:r>
      <w:r>
        <w:t xml:space="preserve">“carrying about in the body the death of Jesus”</w:t>
      </w:r>
      <w:r>
        <w:t xml:space="preserve"> </w:t>
      </w:r>
      <w:r>
        <w:t xml:space="preserve">language of verses 10–11 are not metaphors for minor inconvenience. Paul is describing real physical suffering, social marginalization, and genuine danger. Preachers who rush to the</w:t>
      </w:r>
      <w:r>
        <w:t xml:space="preserve"> </w:t>
      </w:r>
      <w:r>
        <w:t xml:space="preserve">“eternal weight of glory”</w:t>
      </w:r>
      <w:r>
        <w:t xml:space="preserve"> </w:t>
      </w:r>
      <w:r>
        <w:t xml:space="preserve">without taking seriously the</w:t>
      </w:r>
      <w:r>
        <w:t xml:space="preserve"> </w:t>
      </w:r>
      <w:r>
        <w:t xml:space="preserve">“light and momentary troubles”</w:t>
      </w:r>
      <w:r>
        <w:t xml:space="preserve"> </w:t>
      </w:r>
      <w:r>
        <w:t xml:space="preserve">— which were anything but light and momentary to Paul — will produce an exposition that rings false to anyone in real pain. Linger at the suffering before landing at the glory.</w:t>
      </w:r>
    </w:p>
    <w:p>
      <w:pPr>
        <w:numPr>
          <w:ilvl w:val="0"/>
          <w:numId w:val="1002"/>
        </w:numPr>
      </w:pPr>
      <w:r>
        <w:rPr>
          <w:b/>
          <w:bCs/>
        </w:rPr>
        <w:t xml:space="preserve">Reading</w:t>
      </w:r>
      <w:r>
        <w:rPr>
          <w:b/>
          <w:bCs/>
        </w:rPr>
        <w:t xml:space="preserve"> </w:t>
      </w:r>
      <w:r>
        <w:rPr>
          <w:b/>
          <w:bCs/>
        </w:rPr>
        <w:t xml:space="preserve">“jars of clay”</w:t>
      </w:r>
      <w:r>
        <w:rPr>
          <w:b/>
          <w:bCs/>
        </w:rPr>
        <w:t xml:space="preserve"> </w:t>
      </w:r>
      <w:r>
        <w:rPr>
          <w:b/>
          <w:bCs/>
        </w:rPr>
        <w:t xml:space="preserve">as primarily about humility rather than about intentional divine design.</w:t>
      </w:r>
      <w:r>
        <w:t xml:space="preserve"> </w:t>
      </w:r>
      <w:r>
        <w:t xml:space="preserve">The point of verse 7 is not that we should think lowly of ourselves (though that may be a secondary application). The point is that God intentionally chose weak vessels to foreclose any attribution of the gospel’s power to human excellence. The</w:t>
      </w:r>
      <w:r>
        <w:t xml:space="preserve"> </w:t>
      </w:r>
      <w:r>
        <w:t xml:space="preserve">“to show that”</w:t>
      </w:r>
      <w:r>
        <w:t xml:space="preserve"> </w:t>
      </w:r>
      <w:r>
        <w:t xml:space="preserve">clause is load-bearing — it is a statement about God’s purpose, not primarily about the minister’s posture. Misreading this produces a sermon about human humility rather than a sermon about divine intentionality.</w:t>
      </w:r>
    </w:p>
    <w:p>
      <w:pPr>
        <w:numPr>
          <w:ilvl w:val="0"/>
          <w:numId w:val="1002"/>
        </w:numPr>
      </w:pPr>
      <w:r>
        <w:rPr>
          <w:b/>
          <w:bCs/>
        </w:rPr>
        <w:t xml:space="preserve">Extracting verse 4 without its theological implications for prayer and proclamation.</w:t>
      </w:r>
      <w:r>
        <w:t xml:space="preserve"> </w:t>
      </w:r>
      <w:r>
        <w:t xml:space="preserve">“The god of this age has blinded the minds of the unbelieving”</w:t>
      </w:r>
      <w:r>
        <w:t xml:space="preserve"> </w:t>
      </w:r>
      <w:r>
        <w:t xml:space="preserve">is frequently quoted as an explanation for why people don’t believe, but rarely connected to its homiletical implication: if blindness is satanic and illumination is sovereign creative act (v. 6), then the church’s response to unbelief must include rigorous, expectant prayer for divine illumination — not merely improved evangelistic technique. Preach the full theological arc from v. 4 to v. 6.</w:t>
      </w:r>
    </w:p>
    <w:p>
      <w:pPr>
        <w:numPr>
          <w:ilvl w:val="0"/>
          <w:numId w:val="1002"/>
        </w:numPr>
      </w:pPr>
      <w:r>
        <w:rPr>
          <w:b/>
          <w:bCs/>
        </w:rPr>
        <w:t xml:space="preserve">Missing the death-life paradox as the specific shape of gospel ministry.</w:t>
      </w:r>
      <w:r>
        <w:t xml:space="preserve"> </w:t>
      </w:r>
      <w:r>
        <w:t xml:space="preserve">Verses 10–12 establish that the apostolic ministry is not merely analogous to Christ’s death and resurrection — it actually participates in it. The dying of the minister is the vehicle through which the life of Jesus appears. This is not a general statement about suffering being okay; it is a specific theological claim about the mechanism of authentic gospel ministry. Preaching that flattens this to</w:t>
      </w:r>
      <w:r>
        <w:t xml:space="preserve"> </w:t>
      </w:r>
      <w:r>
        <w:t xml:space="preserve">“God uses hard things in our lives”</w:t>
      </w:r>
      <w:r>
        <w:t xml:space="preserve"> </w:t>
      </w:r>
      <w:r>
        <w:t xml:space="preserve">misses the specific, Christological shape of the passage’s argument.</w:t>
      </w:r>
    </w:p>
    <w:p>
      <w:pPr>
        <w:numPr>
          <w:ilvl w:val="0"/>
          <w:numId w:val="1002"/>
        </w:numPr>
      </w:pPr>
      <w:r>
        <w:rPr>
          <w:b/>
          <w:bCs/>
        </w:rPr>
        <w:t xml:space="preserve">Treating verse 18 as Christian escapism or disengagement from the present world.</w:t>
      </w:r>
      <w:r>
        <w:t xml:space="preserve"> </w:t>
      </w:r>
      <w:r>
        <w:t xml:space="preserve">“Fix your eyes on what is unseen”</w:t>
      </w:r>
      <w:r>
        <w:t xml:space="preserve"> </w:t>
      </w:r>
      <w:r>
        <w:t xml:space="preserve">has sometimes been preached as a spiritualized withdrawal from material, embodied, social reality. But Paul’s entire argument depends on the present material reality of suffering being real and being transformed — not escaped. The</w:t>
      </w:r>
      <w:r>
        <w:t xml:space="preserve"> </w:t>
      </w:r>
      <w:r>
        <w:t xml:space="preserve">“unseen things”</w:t>
      </w:r>
      <w:r>
        <w:t xml:space="preserve"> </w:t>
      </w:r>
      <w:r>
        <w:t xml:space="preserve">are not an alternative to this world but the true interpretation of it. The reframe of v. 18 is epistemological, not escapist: it changes how we see the present, not whether we engage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2026-07-14T21:08:02Z</dcterms:created>
  <dcterms:modified xsi:type="dcterms:W3CDTF">2026-07-14T21:08:02Z</dcterms:modified>
</cp:coreProperties>
</file>

<file path=docProps/custom.xml><?xml version="1.0" encoding="utf-8"?>
<Properties xmlns="http://schemas.openxmlformats.org/officeDocument/2006/custom-properties" xmlns:vt="http://schemas.openxmlformats.org/officeDocument/2006/docPropsVTypes"/>
</file>